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内蒙古师范大学团委事迹简介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95" w:afterLines="30" w:line="58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内蒙古师范大学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现有团员青年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26840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人，团总支2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个，团支部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专职团干部39名，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7个门类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个青年爱里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，团属阵地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近6000平方米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以实施 “五大工程”为统领，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提升组织力、引领力、服务力，扎实推进基层团组织规范化建设。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全年开展思想引领类活动10000余场次、各类校园文化活动5600余场次、解决各类青年学生权益服务类问题634项、各类志愿服务600余场次。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学校团委微信公众号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在全国普通高校团委微信公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号综合影响排行榜中多次获得第一名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出台3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0余项改革制度，共青团改革15个大项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，努力提升对治理体系和治理能力现代化的贡献度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组建生源地疫情防控青年突击队、学校疫情防控储备志愿者青年突击队、内蒙古援鄂医疗队医务人员子女线上课后辅导青年突击队等由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3300余人构成的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三支青年突击队，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积极投身疫情防控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阻击战。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动员全校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9391名学生募捐近31万元援助武汉。近年来，多次荣获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五四红旗团委”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荣誉称号；连续多次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获得全国大中专学生志愿者暑期“三下乡”社会实践优秀单位，全区高校共青团“青年大学习”网上主题团课工作优秀组织单位、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“第二课堂成绩单”工作优秀组织单位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“千校万岗”行动2019届建档立卡贫困大学生大中专毕业生就业帮扶工作优秀组织单位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全区青年马克思主义者培养工程研究培训示范基地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等多项荣誉。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荣获全国共青团“团十八大以来共青团宣传思想文化工作先进单位”，这也是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自治区唯一一家入选的高校共青团。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03D4"/>
    <w:rsid w:val="1992059B"/>
    <w:rsid w:val="1D5B1F47"/>
    <w:rsid w:val="268547E5"/>
    <w:rsid w:val="302A45A2"/>
    <w:rsid w:val="30BE1B0F"/>
    <w:rsid w:val="419D7970"/>
    <w:rsid w:val="46B31DE1"/>
    <w:rsid w:val="538E03D4"/>
    <w:rsid w:val="5A0F2BA7"/>
    <w:rsid w:val="5B801C3E"/>
    <w:rsid w:val="5E385D31"/>
    <w:rsid w:val="6A8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2020-03-26T12:05:00Z</dcterms:created>
  <dc:creator>追逐梦想0430</dc:creator>
  <cp:lastModifiedBy>qqtw</cp:lastModifiedBy>
  <dcterms:modified xsi:type="dcterms:W3CDTF">2020-03-26T14:33:27Z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